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4F2C74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19</w:t>
      </w:r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ию</w:t>
      </w:r>
      <w:r w:rsidR="00790F02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л</w:t>
      </w:r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</w:t>
      </w:r>
      <w:r w:rsidR="0046591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578</w:t>
      </w:r>
      <w:bookmarkStart w:id="0" w:name="_GoBack"/>
      <w:bookmarkEnd w:id="0"/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472490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472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="00B72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0175040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r w:rsidR="002312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Резервный фонд Правительства Республики Карелия</w:t>
      </w:r>
      <w:r w:rsidR="00472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EC474A" w:rsidRDefault="00EC474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124A" w:rsidRDefault="0023124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Default="00EE39EA" w:rsidP="00EE05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23124A" w:rsidRPr="0023124A" w:rsidRDefault="0023124A" w:rsidP="00EE05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24A" w:rsidRPr="0023124A" w:rsidRDefault="004979B6" w:rsidP="0023124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23124A" w:rsidRPr="0023124A">
        <w:rPr>
          <w:rFonts w:ascii="Times New Roman" w:hAnsi="Times New Roman" w:cs="Times New Roman"/>
          <w:b/>
          <w:bCs/>
          <w:i/>
          <w:sz w:val="24"/>
          <w:szCs w:val="24"/>
        </w:rPr>
        <w:t>44080 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(городских округов) и зачисляемых в консолидированный бюджет Республики Карелия</w:t>
      </w:r>
    </w:p>
    <w:p w:rsidR="0023124A" w:rsidRDefault="0023124A" w:rsidP="00231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124A" w:rsidRDefault="0023124A" w:rsidP="002312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</w:t>
      </w:r>
      <w:r w:rsidR="004979B6">
        <w:rPr>
          <w:rFonts w:ascii="Times New Roman" w:hAnsi="Times New Roman" w:cs="Times New Roman"/>
          <w:sz w:val="24"/>
          <w:szCs w:val="24"/>
        </w:rPr>
        <w:t xml:space="preserve">за счет средств иного межбюджетного трансферта из </w:t>
      </w:r>
      <w:r>
        <w:rPr>
          <w:rFonts w:ascii="Times New Roman" w:hAnsi="Times New Roman" w:cs="Times New Roman"/>
          <w:sz w:val="24"/>
          <w:szCs w:val="24"/>
        </w:rPr>
        <w:t>бюджета Республики Карелия на 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(городских округов) и зачисляемых в консолидированный бюджет Республики Карелия</w:t>
      </w:r>
      <w:r w:rsidR="004979B6">
        <w:rPr>
          <w:rFonts w:ascii="Times New Roman" w:hAnsi="Times New Roman" w:cs="Times New Roman"/>
          <w:sz w:val="24"/>
          <w:szCs w:val="24"/>
        </w:rPr>
        <w:t>»;</w:t>
      </w:r>
    </w:p>
    <w:p w:rsidR="004979B6" w:rsidRDefault="004979B6" w:rsidP="002312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FDA" w:rsidRPr="00366278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</w:t>
      </w:r>
      <w:r w:rsidR="00790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75040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245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66278"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="00790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зервный фонд Правительства Республики Карелия</w:t>
      </w:r>
    </w:p>
    <w:p w:rsidR="009F37BD" w:rsidRDefault="009F37B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BD" w:rsidRDefault="009F37BD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данному направлению расходов отражаются расходы</w:t>
      </w:r>
      <w:r w:rsidR="00E3517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C1832"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бюджета Лахденпохского</w:t>
      </w:r>
      <w:r w:rsidR="008C1832"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источником финансового обеспечения которых явля</w:t>
      </w:r>
      <w:r w:rsidR="00790F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тся </w:t>
      </w:r>
      <w:r w:rsidR="00790F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средства </w:t>
      </w:r>
      <w:r w:rsidR="00790F02" w:rsidRPr="00790F02">
        <w:rPr>
          <w:rFonts w:ascii="Times New Roman" w:hAnsi="Times New Roman" w:cs="Times New Roman"/>
          <w:bCs/>
          <w:iCs/>
          <w:sz w:val="24"/>
          <w:szCs w:val="24"/>
        </w:rPr>
        <w:t xml:space="preserve">резервного фонда Правительства Республики Карелия, </w:t>
      </w:r>
      <w:r w:rsidR="00790F02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направленные </w:t>
      </w:r>
      <w:r w:rsidR="00790F02" w:rsidRPr="00790F02">
        <w:rPr>
          <w:rFonts w:ascii="Times New Roman" w:hAnsi="Times New Roman" w:cs="Times New Roman"/>
          <w:bCs/>
          <w:iCs/>
          <w:sz w:val="24"/>
          <w:szCs w:val="24"/>
        </w:rPr>
        <w:t>на предоставление субсидий и иных межбюджетных трансфертов бюджетам муниципальных районов</w:t>
      </w:r>
      <w:r w:rsidR="00790F02">
        <w:rPr>
          <w:rFonts w:ascii="Times New Roman" w:hAnsi="Times New Roman" w:cs="Times New Roman"/>
          <w:bCs/>
          <w:iCs/>
          <w:sz w:val="24"/>
          <w:szCs w:val="24"/>
        </w:rPr>
        <w:t>, городских округов и поселений</w:t>
      </w:r>
      <w:r w:rsidR="00FF41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253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A5CBF" w:rsidRDefault="007A5CBF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FB7BBD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366278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финансовое управление, </w:t>
      </w:r>
      <w:r w:rsidR="006F49B9">
        <w:rPr>
          <w:rFonts w:ascii="Times New Roman" w:eastAsia="Times New Roman" w:hAnsi="Times New Roman" w:cs="Times New Roman"/>
          <w:color w:val="00000A"/>
          <w:lang w:eastAsia="zh-CN"/>
        </w:rPr>
        <w:t xml:space="preserve">МКУ «ЦБ», </w:t>
      </w: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36627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0784"/>
    <w:rsid w:val="00154EFA"/>
    <w:rsid w:val="0017214E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24A"/>
    <w:rsid w:val="002315C3"/>
    <w:rsid w:val="00232179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156A8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AE6"/>
    <w:rsid w:val="00486094"/>
    <w:rsid w:val="004910E2"/>
    <w:rsid w:val="004979B6"/>
    <w:rsid w:val="004A5497"/>
    <w:rsid w:val="004D3440"/>
    <w:rsid w:val="004D3F2E"/>
    <w:rsid w:val="004D773B"/>
    <w:rsid w:val="004E69F4"/>
    <w:rsid w:val="004F11E5"/>
    <w:rsid w:val="004F2C74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C6943"/>
    <w:rsid w:val="006C7B5F"/>
    <w:rsid w:val="006F49B9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0F02"/>
    <w:rsid w:val="00795CC3"/>
    <w:rsid w:val="00797A2F"/>
    <w:rsid w:val="007A5CB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56A66"/>
    <w:rsid w:val="00866672"/>
    <w:rsid w:val="008672D4"/>
    <w:rsid w:val="0087248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72684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22C5E"/>
    <w:rsid w:val="00F24596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203A-7FF2-48EF-B961-DEA4EBA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15</cp:revision>
  <cp:lastPrinted>2022-03-02T10:48:00Z</cp:lastPrinted>
  <dcterms:created xsi:type="dcterms:W3CDTF">2022-06-23T11:40:00Z</dcterms:created>
  <dcterms:modified xsi:type="dcterms:W3CDTF">2022-07-20T09:01:00Z</dcterms:modified>
</cp:coreProperties>
</file>